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EB2" w:rsidRDefault="009D7EB2" w:rsidP="009D7EB2">
      <w:pPr>
        <w:pStyle w:val="Heading2"/>
      </w:pPr>
      <w:r>
        <w:t>Individual without “Legal Entity”</w:t>
      </w:r>
      <w:bookmarkStart w:id="0" w:name="_GoBack"/>
      <w:bookmarkEnd w:id="0"/>
    </w:p>
    <w:p w:rsidR="009D7EB2" w:rsidRDefault="000612D7" w:rsidP="009D7EB2">
      <w:r>
        <w:t>I am opposed to</w:t>
      </w:r>
      <w:r>
        <w:t xml:space="preserve"> the</w:t>
      </w:r>
      <w:r>
        <w:t xml:space="preserve"> </w:t>
      </w:r>
      <w:r w:rsidRPr="000612D7">
        <w:t xml:space="preserve">Bureau of Alcohol, Tobacco, Firearms and Explosives </w:t>
      </w:r>
      <w:r>
        <w:t>proposed rule, docket number</w:t>
      </w:r>
      <w:r w:rsidR="006B4887">
        <w:t xml:space="preserve"> ATF</w:t>
      </w:r>
      <w:r>
        <w:t xml:space="preserve"> 41P, on transfers of NFA firearms to “legal entities” su</w:t>
      </w:r>
      <w:r>
        <w:t xml:space="preserve">ch as trusts and corporations. </w:t>
      </w:r>
      <w:r w:rsidR="009D7EB2">
        <w:t>I have considered creating a “legal entity” to possess NFA firearms and my experience tells me ATF is wrong on several key issues.</w:t>
      </w:r>
    </w:p>
    <w:p w:rsidR="009D7EB2" w:rsidRDefault="009D7EB2" w:rsidP="009D7EB2">
      <w:r>
        <w:t>First, I believe ATF is incorrect in saying that law enforcement officials only refuse to sign off due to liability fears.  That was not my experience.  In [</w:t>
      </w:r>
      <w:r w:rsidRPr="00D31FA9">
        <w:rPr>
          <w:highlight w:val="yellow"/>
        </w:rPr>
        <w:t>NAME OF JURISDICTION</w:t>
      </w:r>
      <w:r>
        <w:t>], the [</w:t>
      </w:r>
      <w:r w:rsidRPr="00D31FA9">
        <w:rPr>
          <w:highlight w:val="yellow"/>
        </w:rPr>
        <w:t>POLICE CHIEF/SHERIFF</w:t>
      </w:r>
      <w:r>
        <w:t>] refuses to sign off on these transfers because [</w:t>
      </w:r>
      <w:r w:rsidRPr="00D31FA9">
        <w:rPr>
          <w:highlight w:val="yellow"/>
        </w:rPr>
        <w:t>EXPLAIN AND PROVIDE EVIDENCE SUCH AS STATEMENTS MADE TO APPLICANTS</w:t>
      </w:r>
      <w:r>
        <w:t>].</w:t>
      </w:r>
    </w:p>
    <w:p w:rsidR="009D7EB2" w:rsidRDefault="009D7EB2" w:rsidP="009D7EB2">
      <w:r>
        <w:t>ATF also estimates an unrealistically low cost for photographs and fingerprints.  ATF estimates that photographs would cost $8.00 and take an average of 50 minutes to obtain, and that fingerprints would cost $24.00 and take 60 minutes to obtain.  In my experience, the costs and times are higher.  I learned that it would cost me [</w:t>
      </w:r>
      <w:r w:rsidRPr="00D31FA9">
        <w:rPr>
          <w:highlight w:val="yellow"/>
        </w:rPr>
        <w:t>AMOUNT</w:t>
      </w:r>
      <w:r>
        <w:t>] to get photographs, which took [</w:t>
      </w:r>
      <w:r w:rsidRPr="00D31FA9">
        <w:rPr>
          <w:highlight w:val="yellow"/>
        </w:rPr>
        <w:t>AMOUNT OF TIME</w:t>
      </w:r>
      <w:r>
        <w:t>].  It also would have cost me [</w:t>
      </w:r>
      <w:r w:rsidRPr="00D31FA9">
        <w:rPr>
          <w:highlight w:val="yellow"/>
        </w:rPr>
        <w:t>AMOUNT</w:t>
      </w:r>
      <w:r>
        <w:t>] to get fingerprints, which took me [</w:t>
      </w:r>
      <w:r w:rsidRPr="00D31FA9">
        <w:rPr>
          <w:highlight w:val="yellow"/>
        </w:rPr>
        <w:t>AMOUNT OF TIME</w:t>
      </w:r>
      <w:r>
        <w:t xml:space="preserve">].  </w:t>
      </w:r>
    </w:p>
    <w:p w:rsidR="009D7EB2" w:rsidRDefault="009D7EB2" w:rsidP="009D7EB2">
      <w:r>
        <w:t xml:space="preserve">All of those costs have to be multiplied by the number of “responsible persons” on the application.  ATF estimates only two responsible persons per legal entity.  I believe that is a very low estimate.  </w:t>
      </w:r>
      <w:r w:rsidR="00C073B0">
        <w:t>Had I</w:t>
      </w:r>
      <w:r>
        <w:t xml:space="preserve"> chosen to create a [</w:t>
      </w:r>
      <w:r w:rsidRPr="00D31FA9">
        <w:rPr>
          <w:highlight w:val="yellow"/>
        </w:rPr>
        <w:t>TRUST/CORPORATION/PARTNERSHIP</w:t>
      </w:r>
      <w:r>
        <w:t>], it would have included [</w:t>
      </w:r>
      <w:r w:rsidRPr="00D31FA9">
        <w:rPr>
          <w:highlight w:val="yellow"/>
        </w:rPr>
        <w:t>NUMBER</w:t>
      </w:r>
      <w:r>
        <w:t xml:space="preserve">] people who would qualify as “responsible persons” under ATF’s definition.  </w:t>
      </w:r>
    </w:p>
    <w:p w:rsidR="009D7EB2" w:rsidRDefault="009D7EB2" w:rsidP="009D7EB2">
      <w:r>
        <w:t xml:space="preserve">Another major problem in the proposed rule is the definition of “responsible person.”  Although the wording is different for different types of entities, generally ATF’s definition would include anyone who “possesses, directly or indirectly, the power or authority … to receive, possess, ship, transport, deliver, transfer, or otherwise dispose of a firearm for, or on behalf of” the entity.  The laws on trusts and corporations are very complex.  </w:t>
      </w:r>
      <w:r w:rsidR="00BD5410">
        <w:t>In my case</w:t>
      </w:r>
      <w:r>
        <w:t>, it would be very difficult for me to say accurately which of the parties in my [</w:t>
      </w:r>
      <w:r w:rsidRPr="00D31FA9">
        <w:rPr>
          <w:highlight w:val="yellow"/>
        </w:rPr>
        <w:t>TRUST/CORPORATION/PARTNERSHIP</w:t>
      </w:r>
      <w:r>
        <w:t>] would have fallen under this definition.</w:t>
      </w:r>
      <w:r w:rsidR="00542D6A" w:rsidRPr="00542D6A">
        <w:t xml:space="preserve"> </w:t>
      </w:r>
      <w:r w:rsidR="00542D6A">
        <w:t>[</w:t>
      </w:r>
      <w:r w:rsidR="00542D6A" w:rsidRPr="00176C65">
        <w:rPr>
          <w:highlight w:val="yellow"/>
        </w:rPr>
        <w:t xml:space="preserve">EXPLAIN AND PROVIDE EVIDENCE SUCH AS CHILD </w:t>
      </w:r>
      <w:r w:rsidR="00A81838" w:rsidRPr="009D4FBC">
        <w:rPr>
          <w:highlight w:val="yellow"/>
        </w:rPr>
        <w:t>BENEFICIARIES</w:t>
      </w:r>
      <w:r w:rsidR="00542D6A">
        <w:t>]</w:t>
      </w:r>
      <w:r w:rsidR="00542D6A">
        <w:t xml:space="preserve">. </w:t>
      </w:r>
      <w:r>
        <w:t>To get a clear answer on that, I would probably have need to speak with a lawyer—another cost that ATF fails to consider.</w:t>
      </w:r>
    </w:p>
    <w:p w:rsidR="009D7EB2" w:rsidRDefault="00C073B0" w:rsidP="00C073B0">
      <w:r>
        <w:t>I appreciate your attention to my comments and I hope ATF will reconsider this process. I unequivocally oppose</w:t>
      </w:r>
      <w:r w:rsidRPr="00462D88">
        <w:t xml:space="preserve"> CLEO signoff requirements for any NFA transfer</w:t>
      </w:r>
      <w:r>
        <w:t>, and suggest the elimination of the CLEO signoff requirement in its entirety.</w:t>
      </w:r>
      <w:r w:rsidR="00176C65" w:rsidRPr="00176C65">
        <w:t xml:space="preserve"> </w:t>
      </w:r>
      <w:r w:rsidR="00176C65" w:rsidRPr="00176C65">
        <w:t xml:space="preserve">Allowing government officials to unilaterally deny otherwise lawful firearms transfers to citizens flies in the face of the core American principle that we </w:t>
      </w:r>
      <w:r w:rsidR="00176C65">
        <w:t xml:space="preserve">are a nation of laws, not men. </w:t>
      </w:r>
      <w:r w:rsidR="00176C65" w:rsidRPr="00176C65">
        <w:t>This should not be allowed to stand</w:t>
      </w:r>
      <w:r w:rsidR="00176C65" w:rsidRPr="00176C65">
        <w:t>.</w:t>
      </w:r>
    </w:p>
    <w:sectPr w:rsidR="009D7EB2" w:rsidSect="0067351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1E2" w:rsidRDefault="005401E2" w:rsidP="00432704">
      <w:pPr>
        <w:spacing w:after="0"/>
      </w:pPr>
      <w:r>
        <w:separator/>
      </w:r>
    </w:p>
  </w:endnote>
  <w:endnote w:type="continuationSeparator" w:id="0">
    <w:p w:rsidR="005401E2" w:rsidRDefault="005401E2" w:rsidP="004327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704" w:rsidRDefault="004327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704" w:rsidRDefault="004327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704" w:rsidRDefault="00432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1E2" w:rsidRDefault="005401E2" w:rsidP="00432704">
      <w:pPr>
        <w:spacing w:after="0"/>
      </w:pPr>
      <w:r>
        <w:separator/>
      </w:r>
    </w:p>
  </w:footnote>
  <w:footnote w:type="continuationSeparator" w:id="0">
    <w:p w:rsidR="005401E2" w:rsidRDefault="005401E2" w:rsidP="0043270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704" w:rsidRDefault="004327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704" w:rsidRDefault="004327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704" w:rsidRDefault="004327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EB2"/>
    <w:rsid w:val="000612D7"/>
    <w:rsid w:val="00176C65"/>
    <w:rsid w:val="00432704"/>
    <w:rsid w:val="00434DAE"/>
    <w:rsid w:val="005401E2"/>
    <w:rsid w:val="00542D6A"/>
    <w:rsid w:val="006B4887"/>
    <w:rsid w:val="007040D2"/>
    <w:rsid w:val="00866C47"/>
    <w:rsid w:val="009D7EB2"/>
    <w:rsid w:val="00A81838"/>
    <w:rsid w:val="00BD5410"/>
    <w:rsid w:val="00C073B0"/>
    <w:rsid w:val="00D31FA9"/>
    <w:rsid w:val="00D74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EB2"/>
    <w:pPr>
      <w:spacing w:after="120"/>
      <w:ind w:firstLine="720"/>
    </w:pPr>
    <w:rPr>
      <w:rFonts w:ascii="Times New Roman" w:eastAsiaTheme="minorEastAsia" w:hAnsi="Times New Roman"/>
      <w:sz w:val="24"/>
      <w:szCs w:val="24"/>
    </w:rPr>
  </w:style>
  <w:style w:type="paragraph" w:styleId="Heading2">
    <w:name w:val="heading 2"/>
    <w:basedOn w:val="Normal"/>
    <w:next w:val="Normal"/>
    <w:link w:val="Heading2Char"/>
    <w:uiPriority w:val="9"/>
    <w:unhideWhenUsed/>
    <w:qFormat/>
    <w:rsid w:val="009D7EB2"/>
    <w:pPr>
      <w:ind w:firstLine="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7EB2"/>
    <w:rPr>
      <w:rFonts w:ascii="Times New Roman" w:eastAsiaTheme="minorEastAsia" w:hAnsi="Times New Roman"/>
      <w:sz w:val="24"/>
      <w:szCs w:val="24"/>
      <w:u w:val="single"/>
    </w:rPr>
  </w:style>
  <w:style w:type="paragraph" w:styleId="Header">
    <w:name w:val="header"/>
    <w:basedOn w:val="Normal"/>
    <w:link w:val="HeaderChar"/>
    <w:uiPriority w:val="99"/>
    <w:unhideWhenUsed/>
    <w:rsid w:val="00432704"/>
    <w:pPr>
      <w:tabs>
        <w:tab w:val="center" w:pos="4680"/>
        <w:tab w:val="right" w:pos="9360"/>
      </w:tabs>
      <w:spacing w:after="0"/>
    </w:pPr>
  </w:style>
  <w:style w:type="character" w:customStyle="1" w:styleId="HeaderChar">
    <w:name w:val="Header Char"/>
    <w:basedOn w:val="DefaultParagraphFont"/>
    <w:link w:val="Header"/>
    <w:uiPriority w:val="99"/>
    <w:rsid w:val="00432704"/>
    <w:rPr>
      <w:rFonts w:ascii="Times New Roman" w:eastAsiaTheme="minorEastAsia" w:hAnsi="Times New Roman"/>
      <w:sz w:val="24"/>
      <w:szCs w:val="24"/>
    </w:rPr>
  </w:style>
  <w:style w:type="paragraph" w:styleId="Footer">
    <w:name w:val="footer"/>
    <w:basedOn w:val="Normal"/>
    <w:link w:val="FooterChar"/>
    <w:uiPriority w:val="99"/>
    <w:unhideWhenUsed/>
    <w:rsid w:val="00432704"/>
    <w:pPr>
      <w:tabs>
        <w:tab w:val="center" w:pos="4680"/>
        <w:tab w:val="right" w:pos="9360"/>
      </w:tabs>
      <w:spacing w:after="0"/>
    </w:pPr>
  </w:style>
  <w:style w:type="character" w:customStyle="1" w:styleId="FooterChar">
    <w:name w:val="Footer Char"/>
    <w:basedOn w:val="DefaultParagraphFont"/>
    <w:link w:val="Footer"/>
    <w:uiPriority w:val="99"/>
    <w:rsid w:val="00432704"/>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EB2"/>
    <w:pPr>
      <w:spacing w:after="120"/>
      <w:ind w:firstLine="720"/>
    </w:pPr>
    <w:rPr>
      <w:rFonts w:ascii="Times New Roman" w:eastAsiaTheme="minorEastAsia" w:hAnsi="Times New Roman"/>
      <w:sz w:val="24"/>
      <w:szCs w:val="24"/>
    </w:rPr>
  </w:style>
  <w:style w:type="paragraph" w:styleId="Heading2">
    <w:name w:val="heading 2"/>
    <w:basedOn w:val="Normal"/>
    <w:next w:val="Normal"/>
    <w:link w:val="Heading2Char"/>
    <w:uiPriority w:val="9"/>
    <w:unhideWhenUsed/>
    <w:qFormat/>
    <w:rsid w:val="009D7EB2"/>
    <w:pPr>
      <w:ind w:firstLine="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7EB2"/>
    <w:rPr>
      <w:rFonts w:ascii="Times New Roman" w:eastAsiaTheme="minorEastAsia" w:hAnsi="Times New Roman"/>
      <w:sz w:val="24"/>
      <w:szCs w:val="24"/>
      <w:u w:val="single"/>
    </w:rPr>
  </w:style>
  <w:style w:type="paragraph" w:styleId="Header">
    <w:name w:val="header"/>
    <w:basedOn w:val="Normal"/>
    <w:link w:val="HeaderChar"/>
    <w:uiPriority w:val="99"/>
    <w:unhideWhenUsed/>
    <w:rsid w:val="00432704"/>
    <w:pPr>
      <w:tabs>
        <w:tab w:val="center" w:pos="4680"/>
        <w:tab w:val="right" w:pos="9360"/>
      </w:tabs>
      <w:spacing w:after="0"/>
    </w:pPr>
  </w:style>
  <w:style w:type="character" w:customStyle="1" w:styleId="HeaderChar">
    <w:name w:val="Header Char"/>
    <w:basedOn w:val="DefaultParagraphFont"/>
    <w:link w:val="Header"/>
    <w:uiPriority w:val="99"/>
    <w:rsid w:val="00432704"/>
    <w:rPr>
      <w:rFonts w:ascii="Times New Roman" w:eastAsiaTheme="minorEastAsia" w:hAnsi="Times New Roman"/>
      <w:sz w:val="24"/>
      <w:szCs w:val="24"/>
    </w:rPr>
  </w:style>
  <w:style w:type="paragraph" w:styleId="Footer">
    <w:name w:val="footer"/>
    <w:basedOn w:val="Normal"/>
    <w:link w:val="FooterChar"/>
    <w:uiPriority w:val="99"/>
    <w:unhideWhenUsed/>
    <w:rsid w:val="00432704"/>
    <w:pPr>
      <w:tabs>
        <w:tab w:val="center" w:pos="4680"/>
        <w:tab w:val="right" w:pos="9360"/>
      </w:tabs>
      <w:spacing w:after="0"/>
    </w:pPr>
  </w:style>
  <w:style w:type="character" w:customStyle="1" w:styleId="FooterChar">
    <w:name w:val="Footer Char"/>
    <w:basedOn w:val="DefaultParagraphFont"/>
    <w:link w:val="Footer"/>
    <w:uiPriority w:val="99"/>
    <w:rsid w:val="00432704"/>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2013-12-02T21:58:00Z</dcterms:created>
  <dcterms:modified xsi:type="dcterms:W3CDTF">2013-12-02T21:58:00Z</dcterms:modified>
</cp:coreProperties>
</file>